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74" w:rsidRDefault="00D54E74" w:rsidP="00D54E74">
      <w:pPr>
        <w:shd w:val="clear" w:color="auto" w:fill="FFFFFF"/>
        <w:spacing w:before="120"/>
        <w:ind w:left="0"/>
        <w:jc w:val="center"/>
        <w:rPr>
          <w:b/>
          <w:sz w:val="24"/>
          <w:szCs w:val="20"/>
        </w:rPr>
      </w:pPr>
      <w:r>
        <w:rPr>
          <w:b/>
          <w:noProof/>
          <w:sz w:val="24"/>
          <w:szCs w:val="20"/>
        </w:rPr>
        <w:drawing>
          <wp:inline distT="0" distB="0" distL="0" distR="0">
            <wp:extent cx="2597754" cy="601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CANNJ Logo Rev 4.24.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582" cy="63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E74" w:rsidRPr="000F0D74" w:rsidRDefault="000951A8" w:rsidP="00D54E74">
      <w:pPr>
        <w:shd w:val="clear" w:color="auto" w:fill="FFFFFF"/>
        <w:spacing w:before="120"/>
        <w:ind w:left="0"/>
        <w:jc w:val="center"/>
        <w:rPr>
          <w:rFonts w:ascii="APHont" w:hAnsi="APHont"/>
          <w:b/>
          <w:sz w:val="28"/>
          <w:szCs w:val="28"/>
        </w:rPr>
      </w:pPr>
      <w:r>
        <w:rPr>
          <w:rFonts w:ascii="APHont" w:hAnsi="APHont"/>
          <w:b/>
          <w:sz w:val="40"/>
          <w:szCs w:val="28"/>
        </w:rPr>
        <w:t>T</w:t>
      </w:r>
      <w:r w:rsidR="00A85074">
        <w:rPr>
          <w:rFonts w:ascii="APHont" w:hAnsi="APHont"/>
          <w:b/>
          <w:sz w:val="40"/>
          <w:szCs w:val="28"/>
        </w:rPr>
        <w:t>he Professional</w:t>
      </w:r>
      <w:r w:rsidR="00D54E74" w:rsidRPr="00A85074">
        <w:rPr>
          <w:rFonts w:ascii="APHont" w:hAnsi="APHont"/>
          <w:b/>
          <w:sz w:val="40"/>
          <w:szCs w:val="28"/>
        </w:rPr>
        <w:t xml:space="preserve"> </w:t>
      </w:r>
      <w:r w:rsidR="005F34F6">
        <w:rPr>
          <w:rFonts w:ascii="APHont" w:hAnsi="APHont"/>
          <w:b/>
          <w:sz w:val="40"/>
          <w:szCs w:val="28"/>
        </w:rPr>
        <w:t>Access Provider</w:t>
      </w:r>
    </w:p>
    <w:p w:rsidR="00D54E74" w:rsidRPr="00502447" w:rsidRDefault="00D54E74" w:rsidP="00D54E74">
      <w:pPr>
        <w:rPr>
          <w:rFonts w:ascii="APHont" w:hAnsi="APHont"/>
          <w:sz w:val="24"/>
          <w:szCs w:val="28"/>
          <w:highlight w:val="white"/>
        </w:rPr>
      </w:pPr>
    </w:p>
    <w:p w:rsidR="00694EF4" w:rsidRPr="000F0D74" w:rsidRDefault="00694EF4" w:rsidP="00D54E74">
      <w:pPr>
        <w:rPr>
          <w:rFonts w:ascii="APHont" w:hAnsi="APHont"/>
          <w:b/>
          <w:sz w:val="28"/>
          <w:szCs w:val="28"/>
          <w:highlight w:val="white"/>
        </w:rPr>
      </w:pPr>
      <w:r w:rsidRPr="000F0D74">
        <w:rPr>
          <w:rFonts w:ascii="APHont" w:hAnsi="APHont"/>
          <w:b/>
          <w:sz w:val="28"/>
          <w:szCs w:val="28"/>
          <w:highlight w:val="white"/>
        </w:rPr>
        <w:t>Wh</w:t>
      </w:r>
      <w:r w:rsidR="00F85242">
        <w:rPr>
          <w:rFonts w:ascii="APHont" w:hAnsi="APHont"/>
          <w:b/>
          <w:sz w:val="28"/>
          <w:szCs w:val="28"/>
          <w:highlight w:val="white"/>
        </w:rPr>
        <w:t>at</w:t>
      </w:r>
      <w:r w:rsidRPr="000F0D74">
        <w:rPr>
          <w:rFonts w:ascii="APHont" w:hAnsi="APHont"/>
          <w:b/>
          <w:sz w:val="28"/>
          <w:szCs w:val="28"/>
          <w:highlight w:val="white"/>
        </w:rPr>
        <w:t xml:space="preserve"> </w:t>
      </w:r>
      <w:r w:rsidR="005F34F6">
        <w:rPr>
          <w:rFonts w:ascii="APHont" w:hAnsi="APHont"/>
          <w:b/>
          <w:sz w:val="28"/>
          <w:szCs w:val="28"/>
          <w:highlight w:val="white"/>
        </w:rPr>
        <w:t xml:space="preserve">is an Access </w:t>
      </w:r>
      <w:r w:rsidR="00754429">
        <w:rPr>
          <w:rFonts w:ascii="APHont" w:hAnsi="APHont"/>
          <w:b/>
          <w:sz w:val="28"/>
          <w:szCs w:val="28"/>
          <w:highlight w:val="white"/>
        </w:rPr>
        <w:t>Provider</w:t>
      </w:r>
      <w:r w:rsidRPr="000F0D74">
        <w:rPr>
          <w:rFonts w:ascii="APHont" w:hAnsi="APHont"/>
          <w:b/>
          <w:sz w:val="28"/>
          <w:szCs w:val="28"/>
          <w:highlight w:val="white"/>
        </w:rPr>
        <w:t>?</w:t>
      </w:r>
    </w:p>
    <w:p w:rsidR="000F0D74" w:rsidRPr="00502447" w:rsidRDefault="005F34F6" w:rsidP="000F0D74">
      <w:pPr>
        <w:pStyle w:val="Default"/>
        <w:ind w:left="360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An Access </w:t>
      </w:r>
      <w:r w:rsidR="003A2699" w:rsidRPr="00502447">
        <w:rPr>
          <w:sz w:val="28"/>
          <w:szCs w:val="28"/>
        </w:rPr>
        <w:t>Provider</w:t>
      </w:r>
      <w:r w:rsidR="000F0D74" w:rsidRPr="00502447">
        <w:rPr>
          <w:sz w:val="28"/>
          <w:szCs w:val="28"/>
        </w:rPr>
        <w:t xml:space="preserve"> </w:t>
      </w:r>
      <w:r w:rsidR="003F4ADA">
        <w:rPr>
          <w:sz w:val="28"/>
          <w:szCs w:val="28"/>
        </w:rPr>
        <w:t xml:space="preserve">serves as a connection </w:t>
      </w:r>
      <w:r w:rsidR="000F0D74" w:rsidRPr="00502447">
        <w:rPr>
          <w:sz w:val="28"/>
          <w:szCs w:val="28"/>
        </w:rPr>
        <w:t xml:space="preserve">between someone </w:t>
      </w:r>
      <w:r w:rsidR="00A25A9F">
        <w:rPr>
          <w:sz w:val="28"/>
          <w:szCs w:val="28"/>
        </w:rPr>
        <w:t xml:space="preserve">who has a combined loss of </w:t>
      </w:r>
      <w:r w:rsidR="003F4ADA">
        <w:rPr>
          <w:sz w:val="28"/>
          <w:szCs w:val="28"/>
        </w:rPr>
        <w:t>hearing and sight</w:t>
      </w:r>
      <w:r w:rsidR="000F0D74" w:rsidRPr="00502447">
        <w:rPr>
          <w:sz w:val="28"/>
          <w:szCs w:val="28"/>
        </w:rPr>
        <w:t xml:space="preserve"> and the surrounding environment.</w:t>
      </w:r>
    </w:p>
    <w:p w:rsidR="00694EF4" w:rsidRPr="00502447" w:rsidRDefault="00694EF4" w:rsidP="00D54E74">
      <w:pPr>
        <w:rPr>
          <w:rFonts w:ascii="APHont" w:hAnsi="APHont"/>
          <w:sz w:val="24"/>
          <w:szCs w:val="28"/>
        </w:rPr>
      </w:pPr>
    </w:p>
    <w:p w:rsidR="00694EF4" w:rsidRPr="000F0D74" w:rsidRDefault="00694EF4" w:rsidP="00D54E74">
      <w:pPr>
        <w:rPr>
          <w:rFonts w:ascii="APHont" w:hAnsi="APHont"/>
          <w:b/>
          <w:sz w:val="28"/>
          <w:szCs w:val="28"/>
        </w:rPr>
      </w:pPr>
      <w:r w:rsidRPr="000F0D74">
        <w:rPr>
          <w:rFonts w:ascii="APHont" w:hAnsi="APHont"/>
          <w:b/>
          <w:sz w:val="28"/>
          <w:szCs w:val="28"/>
        </w:rPr>
        <w:t>What do</w:t>
      </w:r>
      <w:r w:rsidR="00754429">
        <w:rPr>
          <w:rFonts w:ascii="APHont" w:hAnsi="APHont"/>
          <w:b/>
          <w:sz w:val="28"/>
          <w:szCs w:val="28"/>
        </w:rPr>
        <w:t xml:space="preserve">es </w:t>
      </w:r>
      <w:r w:rsidR="00F85242">
        <w:rPr>
          <w:rFonts w:ascii="APHont" w:hAnsi="APHont"/>
          <w:b/>
          <w:sz w:val="28"/>
          <w:szCs w:val="28"/>
        </w:rPr>
        <w:t xml:space="preserve">the AP </w:t>
      </w:r>
      <w:r w:rsidR="005F34F6">
        <w:rPr>
          <w:rFonts w:ascii="APHont" w:hAnsi="APHont"/>
          <w:b/>
          <w:sz w:val="28"/>
          <w:szCs w:val="28"/>
        </w:rPr>
        <w:t>do?</w:t>
      </w:r>
    </w:p>
    <w:p w:rsidR="000951A8" w:rsidRPr="00502447" w:rsidRDefault="00C87F2C" w:rsidP="00D54E74">
      <w:pPr>
        <w:rPr>
          <w:rFonts w:ascii="APHont" w:hAnsi="APHont"/>
          <w:sz w:val="28"/>
          <w:szCs w:val="28"/>
        </w:rPr>
      </w:pPr>
      <w:r>
        <w:rPr>
          <w:rFonts w:ascii="APHont" w:hAnsi="APHont"/>
          <w:sz w:val="28"/>
          <w:szCs w:val="28"/>
          <w:highlight w:val="white"/>
        </w:rPr>
        <w:t>The AP</w:t>
      </w:r>
      <w:r w:rsidR="005F34F6">
        <w:rPr>
          <w:rFonts w:ascii="APHont" w:hAnsi="APHont"/>
          <w:sz w:val="28"/>
          <w:szCs w:val="28"/>
          <w:highlight w:val="white"/>
        </w:rPr>
        <w:t xml:space="preserve"> </w:t>
      </w:r>
      <w:r w:rsidR="003A2699" w:rsidRPr="00502447">
        <w:rPr>
          <w:rFonts w:ascii="APHont" w:hAnsi="APHont"/>
          <w:sz w:val="28"/>
          <w:szCs w:val="28"/>
          <w:highlight w:val="white"/>
        </w:rPr>
        <w:t>provides equal access to visual, situational and environmental information.</w:t>
      </w:r>
      <w:r w:rsidR="003A2699" w:rsidRPr="00502447">
        <w:rPr>
          <w:sz w:val="28"/>
          <w:szCs w:val="28"/>
          <w:highlight w:val="white"/>
        </w:rPr>
        <w:t xml:space="preserve"> </w:t>
      </w:r>
      <w:r w:rsidR="005F34F6">
        <w:rPr>
          <w:rFonts w:ascii="APHont" w:hAnsi="APHont"/>
          <w:sz w:val="28"/>
          <w:szCs w:val="28"/>
        </w:rPr>
        <w:t>The AP</w:t>
      </w:r>
      <w:r w:rsidR="00A85074" w:rsidRPr="00502447">
        <w:rPr>
          <w:rFonts w:ascii="APHont" w:hAnsi="APHont"/>
          <w:sz w:val="28"/>
          <w:szCs w:val="28"/>
        </w:rPr>
        <w:t xml:space="preserve"> takes in information not seen or heard by the </w:t>
      </w:r>
      <w:r w:rsidR="003A2699" w:rsidRPr="00502447">
        <w:rPr>
          <w:rFonts w:ascii="APHont" w:hAnsi="APHont"/>
          <w:sz w:val="28"/>
          <w:szCs w:val="28"/>
        </w:rPr>
        <w:t>deafblind person and conveys it</w:t>
      </w:r>
      <w:r w:rsidR="00A85074" w:rsidRPr="00502447">
        <w:rPr>
          <w:rFonts w:ascii="APHont" w:hAnsi="APHont"/>
          <w:sz w:val="28"/>
          <w:szCs w:val="28"/>
        </w:rPr>
        <w:t xml:space="preserve"> in an unbiased, objective manner</w:t>
      </w:r>
      <w:r w:rsidR="00754429" w:rsidRPr="00502447">
        <w:rPr>
          <w:rFonts w:ascii="APHont" w:hAnsi="APHont"/>
          <w:sz w:val="28"/>
          <w:szCs w:val="28"/>
        </w:rPr>
        <w:t xml:space="preserve">. </w:t>
      </w:r>
    </w:p>
    <w:p w:rsidR="00A85074" w:rsidRPr="00502447" w:rsidRDefault="00A85074" w:rsidP="00D54E74">
      <w:pPr>
        <w:rPr>
          <w:rFonts w:ascii="APHont" w:hAnsi="APHont"/>
          <w:sz w:val="14"/>
          <w:szCs w:val="28"/>
        </w:rPr>
      </w:pPr>
    </w:p>
    <w:p w:rsidR="00754429" w:rsidRPr="00502447" w:rsidRDefault="003A2699" w:rsidP="00D54E74">
      <w:pPr>
        <w:rPr>
          <w:rFonts w:ascii="APHont" w:hAnsi="APHont"/>
          <w:sz w:val="28"/>
          <w:szCs w:val="28"/>
        </w:rPr>
      </w:pPr>
      <w:r w:rsidRPr="00502447">
        <w:rPr>
          <w:rFonts w:ascii="APHont" w:hAnsi="APHont"/>
          <w:sz w:val="28"/>
          <w:szCs w:val="28"/>
        </w:rPr>
        <w:t>T</w:t>
      </w:r>
      <w:r w:rsidR="005F34F6">
        <w:rPr>
          <w:rFonts w:ascii="APHont" w:hAnsi="APHont"/>
          <w:sz w:val="28"/>
          <w:szCs w:val="28"/>
        </w:rPr>
        <w:t>he AP</w:t>
      </w:r>
      <w:r w:rsidR="00754429" w:rsidRPr="00502447">
        <w:rPr>
          <w:rFonts w:ascii="APHont" w:hAnsi="APHont"/>
          <w:sz w:val="28"/>
          <w:szCs w:val="28"/>
        </w:rPr>
        <w:t xml:space="preserve"> and the deafblind person form a trusting, interpersonal partnership that’s based on open, honest communication. This communication, as well as treating each other with mutual respect and dignity, are </w:t>
      </w:r>
      <w:r w:rsidR="00A85074" w:rsidRPr="00502447">
        <w:rPr>
          <w:rFonts w:ascii="APHont" w:hAnsi="APHont"/>
          <w:sz w:val="28"/>
          <w:szCs w:val="28"/>
        </w:rPr>
        <w:t>fundamental</w:t>
      </w:r>
      <w:r w:rsidR="00754429" w:rsidRPr="00502447">
        <w:rPr>
          <w:rFonts w:ascii="APHont" w:hAnsi="APHont"/>
          <w:sz w:val="28"/>
          <w:szCs w:val="28"/>
        </w:rPr>
        <w:t xml:space="preserve"> to the success of the partnership</w:t>
      </w:r>
      <w:r w:rsidR="00A85074" w:rsidRPr="00502447">
        <w:rPr>
          <w:rFonts w:ascii="APHont" w:hAnsi="APHont"/>
          <w:sz w:val="28"/>
          <w:szCs w:val="28"/>
        </w:rPr>
        <w:t>.</w:t>
      </w:r>
    </w:p>
    <w:p w:rsidR="000951A8" w:rsidRPr="00502447" w:rsidRDefault="000951A8" w:rsidP="00D54E74">
      <w:pPr>
        <w:rPr>
          <w:rFonts w:ascii="APHont" w:hAnsi="APHont"/>
          <w:sz w:val="16"/>
          <w:szCs w:val="28"/>
        </w:rPr>
      </w:pPr>
    </w:p>
    <w:p w:rsidR="003A2699" w:rsidRDefault="000951A8" w:rsidP="00502447">
      <w:pPr>
        <w:rPr>
          <w:rFonts w:ascii="APHont" w:hAnsi="APHont"/>
          <w:sz w:val="28"/>
          <w:szCs w:val="28"/>
        </w:rPr>
      </w:pPr>
      <w:r w:rsidRPr="00502447">
        <w:rPr>
          <w:rFonts w:ascii="APHont" w:hAnsi="APHont"/>
          <w:sz w:val="28"/>
          <w:szCs w:val="28"/>
          <w:highlight w:val="white"/>
        </w:rPr>
        <w:t>T</w:t>
      </w:r>
      <w:r w:rsidR="005F34F6">
        <w:rPr>
          <w:rFonts w:ascii="APHont" w:hAnsi="APHont"/>
          <w:sz w:val="28"/>
          <w:szCs w:val="28"/>
          <w:highlight w:val="white"/>
        </w:rPr>
        <w:t>he AP</w:t>
      </w:r>
      <w:r w:rsidRPr="00502447">
        <w:rPr>
          <w:rFonts w:ascii="APHont" w:hAnsi="APHont"/>
          <w:sz w:val="28"/>
          <w:szCs w:val="28"/>
          <w:highlight w:val="white"/>
        </w:rPr>
        <w:t xml:space="preserve"> works with one pe</w:t>
      </w:r>
      <w:r w:rsidR="005F34F6">
        <w:rPr>
          <w:rFonts w:ascii="APHont" w:hAnsi="APHont"/>
          <w:sz w:val="28"/>
          <w:szCs w:val="28"/>
          <w:highlight w:val="white"/>
        </w:rPr>
        <w:t xml:space="preserve">rson at a time. In all, the AP </w:t>
      </w:r>
      <w:r w:rsidRPr="00502447">
        <w:rPr>
          <w:rFonts w:ascii="APHont" w:hAnsi="APHont"/>
          <w:sz w:val="28"/>
          <w:szCs w:val="28"/>
          <w:highlight w:val="white"/>
        </w:rPr>
        <w:t xml:space="preserve">does </w:t>
      </w:r>
      <w:r w:rsidRPr="00502447">
        <w:rPr>
          <w:rFonts w:ascii="APHont" w:hAnsi="APHont"/>
          <w:b/>
          <w:i/>
          <w:sz w:val="28"/>
          <w:szCs w:val="28"/>
          <w:highlight w:val="white"/>
        </w:rPr>
        <w:t>with</w:t>
      </w:r>
      <w:r w:rsidRPr="00502447">
        <w:rPr>
          <w:rFonts w:ascii="APHont" w:hAnsi="APHont"/>
          <w:sz w:val="28"/>
          <w:szCs w:val="28"/>
          <w:highlight w:val="white"/>
        </w:rPr>
        <w:t xml:space="preserve">, not </w:t>
      </w:r>
      <w:r w:rsidRPr="00502447">
        <w:rPr>
          <w:rFonts w:ascii="APHont" w:hAnsi="APHont"/>
          <w:b/>
          <w:i/>
          <w:sz w:val="28"/>
          <w:szCs w:val="28"/>
          <w:highlight w:val="white"/>
        </w:rPr>
        <w:t>for</w:t>
      </w:r>
      <w:r w:rsidRPr="00502447">
        <w:rPr>
          <w:rFonts w:ascii="APHont" w:hAnsi="APHont"/>
          <w:sz w:val="28"/>
          <w:szCs w:val="28"/>
          <w:highlight w:val="white"/>
        </w:rPr>
        <w:t>.</w:t>
      </w:r>
    </w:p>
    <w:p w:rsidR="00F85242" w:rsidRDefault="00F85242" w:rsidP="00502447">
      <w:pPr>
        <w:rPr>
          <w:rFonts w:ascii="APHont" w:hAnsi="APHont"/>
          <w:sz w:val="28"/>
          <w:szCs w:val="28"/>
        </w:rPr>
      </w:pPr>
    </w:p>
    <w:p w:rsidR="00F85242" w:rsidRPr="00F85242" w:rsidRDefault="00F85242" w:rsidP="00F85242">
      <w:pPr>
        <w:rPr>
          <w:rFonts w:ascii="APHont" w:hAnsi="APHont"/>
          <w:b/>
          <w:sz w:val="28"/>
          <w:szCs w:val="28"/>
        </w:rPr>
      </w:pPr>
      <w:r>
        <w:rPr>
          <w:rFonts w:ascii="APHont" w:hAnsi="APHont"/>
          <w:b/>
          <w:sz w:val="28"/>
          <w:szCs w:val="28"/>
        </w:rPr>
        <w:t xml:space="preserve">What </w:t>
      </w:r>
      <w:r w:rsidR="00C87F2C">
        <w:rPr>
          <w:rFonts w:ascii="APHont" w:hAnsi="APHont"/>
          <w:b/>
          <w:sz w:val="28"/>
          <w:szCs w:val="28"/>
        </w:rPr>
        <w:t>are the qualifications to be an AP</w:t>
      </w:r>
      <w:r>
        <w:rPr>
          <w:rFonts w:ascii="APHont" w:hAnsi="APHont"/>
          <w:b/>
          <w:sz w:val="28"/>
          <w:szCs w:val="28"/>
        </w:rPr>
        <w:t>?</w:t>
      </w:r>
    </w:p>
    <w:p w:rsidR="00F85242" w:rsidRPr="00502447" w:rsidRDefault="00F85242" w:rsidP="00F85242">
      <w:pPr>
        <w:pStyle w:val="Default"/>
        <w:ind w:left="360"/>
        <w:rPr>
          <w:sz w:val="28"/>
          <w:szCs w:val="28"/>
          <w:highlight w:val="white"/>
        </w:rPr>
      </w:pPr>
      <w:r w:rsidRPr="00502447">
        <w:rPr>
          <w:i/>
          <w:sz w:val="28"/>
          <w:szCs w:val="28"/>
          <w:highlight w:val="white"/>
        </w:rPr>
        <w:t>Necessary skills</w:t>
      </w:r>
      <w:r w:rsidRPr="00502447">
        <w:rPr>
          <w:sz w:val="28"/>
          <w:szCs w:val="28"/>
          <w:highlight w:val="white"/>
        </w:rPr>
        <w:t xml:space="preserve"> include the abilities to effectively communicate, to accurately and objectively describe </w:t>
      </w:r>
      <w:r>
        <w:rPr>
          <w:sz w:val="28"/>
          <w:szCs w:val="28"/>
          <w:highlight w:val="white"/>
        </w:rPr>
        <w:t>the environment and situations</w:t>
      </w:r>
      <w:r w:rsidRPr="00502447">
        <w:rPr>
          <w:sz w:val="28"/>
          <w:szCs w:val="28"/>
          <w:highlight w:val="white"/>
        </w:rPr>
        <w:t>, to provide safe and efficient huma</w:t>
      </w:r>
      <w:r w:rsidR="003F4ADA">
        <w:rPr>
          <w:sz w:val="28"/>
          <w:szCs w:val="28"/>
          <w:highlight w:val="white"/>
        </w:rPr>
        <w:t>n guide, to think on one’s feet, to easily adapt</w:t>
      </w:r>
      <w:r w:rsidRPr="00502447">
        <w:rPr>
          <w:sz w:val="28"/>
          <w:szCs w:val="28"/>
          <w:highlight w:val="white"/>
        </w:rPr>
        <w:t xml:space="preserve"> and to maintain personal boundaries. </w:t>
      </w:r>
    </w:p>
    <w:p w:rsidR="00F85242" w:rsidRPr="00502447" w:rsidRDefault="00F85242" w:rsidP="00F85242">
      <w:pPr>
        <w:pStyle w:val="Default"/>
        <w:ind w:left="360"/>
        <w:rPr>
          <w:sz w:val="14"/>
          <w:szCs w:val="28"/>
          <w:highlight w:val="white"/>
        </w:rPr>
      </w:pPr>
    </w:p>
    <w:p w:rsidR="00F85242" w:rsidRPr="004E1055" w:rsidRDefault="00F85242" w:rsidP="004E1055">
      <w:pPr>
        <w:pStyle w:val="Default"/>
        <w:ind w:left="360"/>
        <w:rPr>
          <w:sz w:val="32"/>
          <w:szCs w:val="28"/>
          <w:highlight w:val="white"/>
        </w:rPr>
      </w:pPr>
      <w:r w:rsidRPr="00502447">
        <w:rPr>
          <w:i/>
          <w:sz w:val="28"/>
          <w:szCs w:val="28"/>
          <w:highlight w:val="white"/>
        </w:rPr>
        <w:t>Characteristics</w:t>
      </w:r>
      <w:r w:rsidRPr="00502447">
        <w:rPr>
          <w:sz w:val="28"/>
          <w:szCs w:val="28"/>
          <w:highlight w:val="white"/>
        </w:rPr>
        <w:t xml:space="preserve"> include keeping confidences, respecting and </w:t>
      </w:r>
      <w:r>
        <w:rPr>
          <w:sz w:val="28"/>
          <w:szCs w:val="28"/>
          <w:highlight w:val="white"/>
        </w:rPr>
        <w:t>being willing</w:t>
      </w:r>
      <w:r w:rsidRPr="00502447">
        <w:rPr>
          <w:sz w:val="28"/>
          <w:szCs w:val="28"/>
          <w:highlight w:val="white"/>
        </w:rPr>
        <w:t xml:space="preserve"> to follow consumer choice, patience, flexibility, punctuality</w:t>
      </w:r>
      <w:r w:rsidR="00C87F2C">
        <w:rPr>
          <w:sz w:val="28"/>
          <w:szCs w:val="28"/>
          <w:highlight w:val="white"/>
        </w:rPr>
        <w:t>,</w:t>
      </w:r>
      <w:r w:rsidRPr="00502447">
        <w:rPr>
          <w:sz w:val="28"/>
          <w:szCs w:val="28"/>
          <w:highlight w:val="white"/>
        </w:rPr>
        <w:t xml:space="preserve"> and knowledge of </w:t>
      </w:r>
      <w:r w:rsidR="00C87F2C">
        <w:rPr>
          <w:sz w:val="28"/>
          <w:szCs w:val="28"/>
          <w:highlight w:val="white"/>
        </w:rPr>
        <w:t xml:space="preserve">and respect for </w:t>
      </w:r>
      <w:r w:rsidRPr="00502447">
        <w:rPr>
          <w:sz w:val="28"/>
          <w:szCs w:val="28"/>
          <w:highlight w:val="white"/>
        </w:rPr>
        <w:t xml:space="preserve">DeafBlind culture. </w:t>
      </w:r>
    </w:p>
    <w:p w:rsidR="003A2699" w:rsidRPr="00502447" w:rsidRDefault="003A2699" w:rsidP="00D54E74">
      <w:pPr>
        <w:rPr>
          <w:rFonts w:ascii="APHont" w:hAnsi="APHont"/>
          <w:b/>
          <w:sz w:val="24"/>
          <w:szCs w:val="28"/>
        </w:rPr>
      </w:pPr>
    </w:p>
    <w:p w:rsidR="00694EF4" w:rsidRPr="000F0D74" w:rsidRDefault="00694EF4" w:rsidP="00D54E74">
      <w:pPr>
        <w:rPr>
          <w:rFonts w:ascii="APHont" w:hAnsi="APHont"/>
          <w:b/>
          <w:sz w:val="28"/>
          <w:szCs w:val="28"/>
        </w:rPr>
      </w:pPr>
      <w:r w:rsidRPr="000F0D74">
        <w:rPr>
          <w:rFonts w:ascii="APHont" w:hAnsi="APHont"/>
          <w:b/>
          <w:sz w:val="28"/>
          <w:szCs w:val="28"/>
        </w:rPr>
        <w:t>When</w:t>
      </w:r>
      <w:r w:rsidR="004E1055">
        <w:rPr>
          <w:rFonts w:ascii="APHont" w:hAnsi="APHont"/>
          <w:b/>
          <w:sz w:val="28"/>
          <w:szCs w:val="28"/>
        </w:rPr>
        <w:t xml:space="preserve"> are services provided</w:t>
      </w:r>
      <w:r w:rsidRPr="000F0D74">
        <w:rPr>
          <w:rFonts w:ascii="APHont" w:hAnsi="APHont"/>
          <w:b/>
          <w:sz w:val="28"/>
          <w:szCs w:val="28"/>
        </w:rPr>
        <w:t>?</w:t>
      </w:r>
    </w:p>
    <w:p w:rsidR="00694EF4" w:rsidRPr="00502447" w:rsidRDefault="00A25A9F" w:rsidP="00D54E74">
      <w:pPr>
        <w:rPr>
          <w:rFonts w:ascii="APHont" w:hAnsi="APHont"/>
          <w:sz w:val="28"/>
          <w:szCs w:val="28"/>
        </w:rPr>
      </w:pPr>
      <w:r>
        <w:rPr>
          <w:rFonts w:ascii="APHont" w:hAnsi="APHont"/>
          <w:sz w:val="28"/>
          <w:szCs w:val="28"/>
        </w:rPr>
        <w:t xml:space="preserve">For any </w:t>
      </w:r>
      <w:r w:rsidR="00754429" w:rsidRPr="00502447">
        <w:rPr>
          <w:rFonts w:ascii="APHont" w:hAnsi="APHont"/>
          <w:sz w:val="28"/>
          <w:szCs w:val="28"/>
        </w:rPr>
        <w:t xml:space="preserve">events and activities, or whenever the deafblind person requests – and receives approval for – their assistance. </w:t>
      </w:r>
    </w:p>
    <w:p w:rsidR="000F0D74" w:rsidRPr="00502447" w:rsidRDefault="000F0D74" w:rsidP="00D54E74">
      <w:pPr>
        <w:rPr>
          <w:rFonts w:ascii="APHont" w:hAnsi="APHont"/>
          <w:sz w:val="24"/>
          <w:szCs w:val="28"/>
        </w:rPr>
      </w:pPr>
    </w:p>
    <w:p w:rsidR="00694EF4" w:rsidRPr="000F0D74" w:rsidRDefault="00694EF4" w:rsidP="00D54E74">
      <w:pPr>
        <w:rPr>
          <w:rFonts w:ascii="APHont" w:hAnsi="APHont"/>
          <w:b/>
          <w:sz w:val="28"/>
          <w:szCs w:val="28"/>
        </w:rPr>
      </w:pPr>
      <w:r w:rsidRPr="000F0D74">
        <w:rPr>
          <w:rFonts w:ascii="APHont" w:hAnsi="APHont"/>
          <w:b/>
          <w:sz w:val="28"/>
          <w:szCs w:val="28"/>
        </w:rPr>
        <w:t>Where?</w:t>
      </w:r>
    </w:p>
    <w:p w:rsidR="00694EF4" w:rsidRPr="00502447" w:rsidRDefault="00694EF4" w:rsidP="00D54E74">
      <w:pPr>
        <w:rPr>
          <w:rFonts w:ascii="APHont" w:hAnsi="APHont"/>
          <w:sz w:val="28"/>
          <w:szCs w:val="28"/>
        </w:rPr>
      </w:pPr>
      <w:r w:rsidRPr="00502447">
        <w:rPr>
          <w:rFonts w:ascii="APHont" w:hAnsi="APHont"/>
          <w:sz w:val="28"/>
          <w:szCs w:val="28"/>
        </w:rPr>
        <w:t xml:space="preserve">Services are </w:t>
      </w:r>
      <w:r w:rsidR="0003081C">
        <w:rPr>
          <w:rFonts w:ascii="APHont" w:hAnsi="APHont"/>
          <w:sz w:val="28"/>
          <w:szCs w:val="28"/>
        </w:rPr>
        <w:t>provided</w:t>
      </w:r>
      <w:r w:rsidRPr="00502447">
        <w:rPr>
          <w:rFonts w:ascii="APHont" w:hAnsi="APHont"/>
          <w:sz w:val="28"/>
          <w:szCs w:val="28"/>
        </w:rPr>
        <w:t xml:space="preserve"> in home and community settings. </w:t>
      </w:r>
    </w:p>
    <w:p w:rsidR="005F34F6" w:rsidRDefault="005F34F6" w:rsidP="008552DB">
      <w:pPr>
        <w:ind w:left="0"/>
        <w:rPr>
          <w:rFonts w:ascii="APHont" w:hAnsi="APHont"/>
          <w:b/>
          <w:sz w:val="28"/>
          <w:szCs w:val="28"/>
        </w:rPr>
      </w:pPr>
    </w:p>
    <w:p w:rsidR="00694EF4" w:rsidRPr="00754429" w:rsidRDefault="00694EF4" w:rsidP="00754429">
      <w:pPr>
        <w:rPr>
          <w:rFonts w:ascii="APHont" w:hAnsi="APHont"/>
          <w:b/>
          <w:sz w:val="28"/>
          <w:szCs w:val="28"/>
        </w:rPr>
      </w:pPr>
      <w:r w:rsidRPr="000F0D74">
        <w:rPr>
          <w:rFonts w:ascii="APHont" w:hAnsi="APHont"/>
          <w:b/>
          <w:sz w:val="28"/>
          <w:szCs w:val="28"/>
        </w:rPr>
        <w:t>Why?</w:t>
      </w:r>
    </w:p>
    <w:p w:rsidR="00D54E74" w:rsidRDefault="005F34F6" w:rsidP="00754429">
      <w:pPr>
        <w:rPr>
          <w:rStyle w:val="A2"/>
          <w:rFonts w:ascii="APHont" w:hAnsi="APHont"/>
          <w:sz w:val="28"/>
          <w:szCs w:val="28"/>
        </w:rPr>
      </w:pPr>
      <w:r>
        <w:rPr>
          <w:rStyle w:val="A2"/>
          <w:rFonts w:ascii="APHont" w:hAnsi="APHont"/>
          <w:sz w:val="28"/>
          <w:szCs w:val="28"/>
        </w:rPr>
        <w:t>Professional AP</w:t>
      </w:r>
      <w:r w:rsidR="00694EF4" w:rsidRPr="000F0D74">
        <w:rPr>
          <w:rStyle w:val="A2"/>
          <w:rFonts w:ascii="APHont" w:hAnsi="APHont"/>
          <w:sz w:val="28"/>
          <w:szCs w:val="28"/>
        </w:rPr>
        <w:t xml:space="preserve">s are a </w:t>
      </w:r>
      <w:r w:rsidR="00C87F2C">
        <w:rPr>
          <w:rStyle w:val="A2"/>
          <w:rFonts w:ascii="APHont" w:hAnsi="APHont"/>
          <w:sz w:val="28"/>
          <w:szCs w:val="28"/>
        </w:rPr>
        <w:t>connection</w:t>
      </w:r>
      <w:r w:rsidR="00694EF4" w:rsidRPr="000F0D74">
        <w:rPr>
          <w:rStyle w:val="A2"/>
          <w:rFonts w:ascii="APHont" w:hAnsi="APHont"/>
          <w:sz w:val="28"/>
          <w:szCs w:val="28"/>
        </w:rPr>
        <w:t xml:space="preserve"> to information. When DeafBlind people have information, they can make informed choices</w:t>
      </w:r>
      <w:r w:rsidR="000F0D74">
        <w:rPr>
          <w:rStyle w:val="A2"/>
          <w:rFonts w:ascii="APHont" w:hAnsi="APHont"/>
          <w:sz w:val="28"/>
          <w:szCs w:val="28"/>
        </w:rPr>
        <w:t xml:space="preserve"> and decisions</w:t>
      </w:r>
      <w:r w:rsidR="00694EF4" w:rsidRPr="000F0D74">
        <w:rPr>
          <w:rStyle w:val="A2"/>
          <w:rFonts w:ascii="APHont" w:hAnsi="APHont"/>
          <w:sz w:val="28"/>
          <w:szCs w:val="28"/>
        </w:rPr>
        <w:t xml:space="preserve">, more </w:t>
      </w:r>
      <w:r w:rsidR="00694EF4" w:rsidRPr="000F0D74">
        <w:rPr>
          <w:rStyle w:val="A2"/>
          <w:rFonts w:ascii="APHont" w:hAnsi="APHont"/>
          <w:sz w:val="28"/>
          <w:szCs w:val="28"/>
        </w:rPr>
        <w:lastRenderedPageBreak/>
        <w:t>fully engage in their communities, communicate with others and, ulti</w:t>
      </w:r>
      <w:r w:rsidR="00694EF4" w:rsidRPr="000F0D74">
        <w:rPr>
          <w:rStyle w:val="A2"/>
          <w:rFonts w:ascii="APHont" w:hAnsi="APHont"/>
          <w:sz w:val="28"/>
          <w:szCs w:val="28"/>
        </w:rPr>
        <w:softHyphen/>
        <w:t xml:space="preserve">mately, enjoy life with greater </w:t>
      </w:r>
      <w:r w:rsidR="00B74668" w:rsidRPr="0003081C">
        <w:rPr>
          <w:rStyle w:val="A2"/>
          <w:rFonts w:ascii="APHont" w:hAnsi="APHont"/>
          <w:sz w:val="28"/>
          <w:szCs w:val="28"/>
        </w:rPr>
        <w:t>freedom and</w:t>
      </w:r>
      <w:r w:rsidR="00B74668">
        <w:rPr>
          <w:rStyle w:val="A2"/>
          <w:rFonts w:ascii="APHont" w:hAnsi="APHont"/>
          <w:sz w:val="28"/>
          <w:szCs w:val="28"/>
        </w:rPr>
        <w:t xml:space="preserve"> </w:t>
      </w:r>
      <w:r w:rsidR="00694EF4" w:rsidRPr="000F0D74">
        <w:rPr>
          <w:rStyle w:val="A2"/>
          <w:rFonts w:ascii="APHont" w:hAnsi="APHont"/>
          <w:sz w:val="28"/>
          <w:szCs w:val="28"/>
        </w:rPr>
        <w:t>independence.</w:t>
      </w:r>
    </w:p>
    <w:p w:rsidR="00754429" w:rsidRPr="00502447" w:rsidRDefault="00754429" w:rsidP="00694EF4">
      <w:pPr>
        <w:ind w:left="0"/>
        <w:rPr>
          <w:rFonts w:ascii="APHont" w:hAnsi="APHont"/>
          <w:sz w:val="24"/>
          <w:szCs w:val="28"/>
        </w:rPr>
      </w:pPr>
    </w:p>
    <w:p w:rsidR="00D54E74" w:rsidRDefault="00694EF4" w:rsidP="00D54E74">
      <w:pPr>
        <w:rPr>
          <w:rFonts w:ascii="APHont" w:hAnsi="APHont"/>
          <w:b/>
          <w:sz w:val="28"/>
          <w:szCs w:val="28"/>
          <w:highlight w:val="white"/>
        </w:rPr>
      </w:pPr>
      <w:r w:rsidRPr="000F0D74">
        <w:rPr>
          <w:rFonts w:ascii="APHont" w:hAnsi="APHont"/>
          <w:b/>
          <w:sz w:val="28"/>
          <w:szCs w:val="28"/>
          <w:highlight w:val="white"/>
        </w:rPr>
        <w:t>How</w:t>
      </w:r>
      <w:r w:rsidR="00C87F2C">
        <w:rPr>
          <w:rFonts w:ascii="APHont" w:hAnsi="APHont"/>
          <w:b/>
          <w:sz w:val="28"/>
          <w:szCs w:val="28"/>
          <w:highlight w:val="white"/>
        </w:rPr>
        <w:t xml:space="preserve"> does this happen</w:t>
      </w:r>
      <w:r w:rsidR="00754429">
        <w:rPr>
          <w:rFonts w:ascii="APHont" w:hAnsi="APHont"/>
          <w:b/>
          <w:sz w:val="28"/>
          <w:szCs w:val="28"/>
          <w:highlight w:val="white"/>
        </w:rPr>
        <w:t>?</w:t>
      </w:r>
    </w:p>
    <w:p w:rsidR="00A85074" w:rsidRPr="00502447" w:rsidRDefault="00C87F2C" w:rsidP="000951A8">
      <w:pPr>
        <w:spacing w:line="276" w:lineRule="auto"/>
        <w:contextualSpacing/>
        <w:rPr>
          <w:rFonts w:ascii="APHont" w:hAnsi="APHont"/>
          <w:sz w:val="28"/>
          <w:szCs w:val="28"/>
          <w:highlight w:val="white"/>
        </w:rPr>
      </w:pPr>
      <w:r>
        <w:rPr>
          <w:rFonts w:ascii="APHont" w:hAnsi="APHont"/>
          <w:sz w:val="28"/>
          <w:szCs w:val="28"/>
        </w:rPr>
        <w:t>The partnership develops through mutual</w:t>
      </w:r>
      <w:r w:rsidR="00A85074" w:rsidRPr="00502447">
        <w:rPr>
          <w:rFonts w:ascii="APHont" w:hAnsi="APHont"/>
          <w:sz w:val="28"/>
          <w:szCs w:val="28"/>
        </w:rPr>
        <w:t xml:space="preserve"> respect and </w:t>
      </w:r>
      <w:r>
        <w:rPr>
          <w:rFonts w:ascii="APHont" w:hAnsi="APHont"/>
          <w:sz w:val="28"/>
          <w:szCs w:val="28"/>
        </w:rPr>
        <w:t xml:space="preserve">is under </w:t>
      </w:r>
      <w:r w:rsidR="00A85074" w:rsidRPr="00502447">
        <w:rPr>
          <w:rFonts w:ascii="APHont" w:hAnsi="APHont"/>
          <w:sz w:val="28"/>
          <w:szCs w:val="28"/>
        </w:rPr>
        <w:t xml:space="preserve">direction </w:t>
      </w:r>
      <w:r>
        <w:rPr>
          <w:rFonts w:ascii="APHont" w:hAnsi="APHont"/>
          <w:sz w:val="28"/>
          <w:szCs w:val="28"/>
        </w:rPr>
        <w:t>of</w:t>
      </w:r>
      <w:r w:rsidR="00A85074" w:rsidRPr="00502447">
        <w:rPr>
          <w:rFonts w:ascii="APHont" w:hAnsi="APHont"/>
          <w:sz w:val="28"/>
          <w:szCs w:val="28"/>
        </w:rPr>
        <w:t xml:space="preserve"> the deafblind person’s choices, decision</w:t>
      </w:r>
      <w:r w:rsidR="000951A8" w:rsidRPr="00502447">
        <w:rPr>
          <w:rFonts w:ascii="APHont" w:hAnsi="APHont"/>
          <w:sz w:val="28"/>
          <w:szCs w:val="28"/>
        </w:rPr>
        <w:t>s</w:t>
      </w:r>
      <w:r w:rsidR="00A85074" w:rsidRPr="00502447">
        <w:rPr>
          <w:rFonts w:ascii="APHont" w:hAnsi="APHont"/>
          <w:sz w:val="28"/>
          <w:szCs w:val="28"/>
        </w:rPr>
        <w:t xml:space="preserve"> and leadership. </w:t>
      </w:r>
      <w:r w:rsidR="000951A8" w:rsidRPr="00502447">
        <w:rPr>
          <w:rFonts w:ascii="APHont" w:hAnsi="APHont"/>
          <w:sz w:val="28"/>
          <w:szCs w:val="28"/>
        </w:rPr>
        <w:t>The chart below describes the specifics of the role in more detail:</w:t>
      </w:r>
    </w:p>
    <w:p w:rsidR="00D54E74" w:rsidRPr="00502447" w:rsidRDefault="00D54E74" w:rsidP="00D54E74">
      <w:pPr>
        <w:spacing w:line="276" w:lineRule="auto"/>
        <w:contextualSpacing/>
        <w:rPr>
          <w:rFonts w:ascii="APHont" w:hAnsi="APHont"/>
          <w:sz w:val="4"/>
          <w:szCs w:val="28"/>
          <w:highlight w:val="white"/>
        </w:rPr>
      </w:pPr>
    </w:p>
    <w:tbl>
      <w:tblPr>
        <w:tblStyle w:val="TableGrid"/>
        <w:tblW w:w="10260" w:type="dxa"/>
        <w:tblInd w:w="355" w:type="dxa"/>
        <w:tblLook w:val="04A0" w:firstRow="1" w:lastRow="0" w:firstColumn="1" w:lastColumn="0" w:noHBand="0" w:noVBand="1"/>
      </w:tblPr>
      <w:tblGrid>
        <w:gridCol w:w="3150"/>
        <w:gridCol w:w="7110"/>
      </w:tblGrid>
      <w:tr w:rsidR="00D54E74" w:rsidRPr="000F0D74" w:rsidTr="003F4ADA">
        <w:tc>
          <w:tcPr>
            <w:tcW w:w="3150" w:type="dxa"/>
          </w:tcPr>
          <w:p w:rsidR="00D54E74" w:rsidRPr="000F0D74" w:rsidRDefault="000951A8" w:rsidP="003F4ADA">
            <w:pPr>
              <w:ind w:left="0"/>
              <w:rPr>
                <w:rFonts w:ascii="APHont" w:hAnsi="APHont"/>
                <w:b/>
                <w:i/>
                <w:sz w:val="28"/>
                <w:szCs w:val="28"/>
              </w:rPr>
            </w:pPr>
            <w:r>
              <w:rPr>
                <w:rFonts w:ascii="APHont" w:hAnsi="APHont"/>
                <w:b/>
                <w:i/>
                <w:sz w:val="28"/>
                <w:szCs w:val="28"/>
              </w:rPr>
              <w:t>ROLE</w:t>
            </w:r>
          </w:p>
        </w:tc>
        <w:tc>
          <w:tcPr>
            <w:tcW w:w="7110" w:type="dxa"/>
          </w:tcPr>
          <w:p w:rsidR="00D54E74" w:rsidRPr="000F0D74" w:rsidRDefault="00D54E74" w:rsidP="0064393B">
            <w:pPr>
              <w:rPr>
                <w:rFonts w:ascii="APHont" w:hAnsi="APHont"/>
                <w:b/>
                <w:i/>
                <w:sz w:val="28"/>
                <w:szCs w:val="28"/>
              </w:rPr>
            </w:pPr>
            <w:r w:rsidRPr="000F0D74">
              <w:rPr>
                <w:rFonts w:ascii="APHont" w:hAnsi="APHont"/>
                <w:b/>
                <w:i/>
                <w:sz w:val="28"/>
                <w:szCs w:val="28"/>
              </w:rPr>
              <w:t>RESPONSIBILITIES</w:t>
            </w:r>
          </w:p>
        </w:tc>
      </w:tr>
      <w:tr w:rsidR="000951A8" w:rsidRPr="000F0D74" w:rsidTr="003F4ADA">
        <w:tc>
          <w:tcPr>
            <w:tcW w:w="3150" w:type="dxa"/>
          </w:tcPr>
          <w:p w:rsidR="000951A8" w:rsidRPr="000F0D74" w:rsidRDefault="000951A8" w:rsidP="003F4ADA">
            <w:pPr>
              <w:ind w:left="0"/>
              <w:rPr>
                <w:rFonts w:ascii="APHont" w:hAnsi="APHont"/>
                <w:sz w:val="28"/>
                <w:szCs w:val="28"/>
              </w:rPr>
            </w:pPr>
            <w:r w:rsidRPr="000F0D74">
              <w:rPr>
                <w:rFonts w:ascii="APHont" w:hAnsi="APHont"/>
                <w:sz w:val="28"/>
                <w:szCs w:val="28"/>
              </w:rPr>
              <w:t>Provide access to visual, situational and environmental information</w:t>
            </w:r>
          </w:p>
        </w:tc>
        <w:tc>
          <w:tcPr>
            <w:tcW w:w="7110" w:type="dxa"/>
          </w:tcPr>
          <w:p w:rsidR="000951A8" w:rsidRPr="0003081C" w:rsidRDefault="00B74668" w:rsidP="00D54E74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PHont" w:hAnsi="APHont"/>
                <w:sz w:val="28"/>
                <w:szCs w:val="28"/>
              </w:rPr>
            </w:pPr>
            <w:r w:rsidRPr="0003081C">
              <w:rPr>
                <w:rFonts w:ascii="APHont" w:hAnsi="APHont"/>
                <w:sz w:val="28"/>
                <w:szCs w:val="28"/>
              </w:rPr>
              <w:t>Objectively c</w:t>
            </w:r>
            <w:r w:rsidR="000951A8" w:rsidRPr="0003081C">
              <w:rPr>
                <w:rFonts w:ascii="APHont" w:hAnsi="APHont"/>
                <w:sz w:val="28"/>
                <w:szCs w:val="28"/>
              </w:rPr>
              <w:t>onvey visual and</w:t>
            </w:r>
            <w:r w:rsidR="005557F2" w:rsidRPr="0003081C">
              <w:rPr>
                <w:rFonts w:ascii="APHont" w:hAnsi="APHont"/>
                <w:sz w:val="28"/>
                <w:szCs w:val="28"/>
              </w:rPr>
              <w:t>/or</w:t>
            </w:r>
            <w:r w:rsidR="000951A8" w:rsidRPr="0003081C">
              <w:rPr>
                <w:rFonts w:ascii="APHont" w:hAnsi="APHont"/>
                <w:sz w:val="28"/>
                <w:szCs w:val="28"/>
              </w:rPr>
              <w:t xml:space="preserve"> auditory environmental information</w:t>
            </w:r>
          </w:p>
          <w:p w:rsidR="000951A8" w:rsidRPr="0003081C" w:rsidRDefault="000951A8" w:rsidP="003F4ADA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PHont" w:hAnsi="APHont"/>
                <w:sz w:val="28"/>
                <w:szCs w:val="28"/>
              </w:rPr>
            </w:pPr>
            <w:r w:rsidRPr="0003081C">
              <w:rPr>
                <w:rFonts w:ascii="APHont" w:hAnsi="APHont"/>
                <w:sz w:val="28"/>
                <w:szCs w:val="28"/>
              </w:rPr>
              <w:t>Relay certain aspects that are not seen or heard by the deafblind person (guidance provided by the deafblind individual)</w:t>
            </w:r>
          </w:p>
        </w:tc>
      </w:tr>
      <w:tr w:rsidR="000951A8" w:rsidRPr="000F0D74" w:rsidTr="003F4ADA">
        <w:tc>
          <w:tcPr>
            <w:tcW w:w="3150" w:type="dxa"/>
          </w:tcPr>
          <w:p w:rsidR="000951A8" w:rsidRPr="000F0D74" w:rsidRDefault="000951A8" w:rsidP="003F4ADA">
            <w:pPr>
              <w:ind w:left="0"/>
              <w:rPr>
                <w:rFonts w:ascii="APHont" w:hAnsi="APHont"/>
                <w:sz w:val="28"/>
                <w:szCs w:val="28"/>
              </w:rPr>
            </w:pPr>
            <w:r w:rsidRPr="000F0D74">
              <w:rPr>
                <w:rFonts w:ascii="APHont" w:hAnsi="APHont"/>
                <w:sz w:val="28"/>
                <w:szCs w:val="28"/>
              </w:rPr>
              <w:t>Ensure comfortable and confident access to communication</w:t>
            </w:r>
          </w:p>
        </w:tc>
        <w:tc>
          <w:tcPr>
            <w:tcW w:w="7110" w:type="dxa"/>
          </w:tcPr>
          <w:p w:rsidR="000951A8" w:rsidRPr="0003081C" w:rsidRDefault="000951A8" w:rsidP="00D54E74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PHont" w:hAnsi="APHont"/>
                <w:sz w:val="28"/>
                <w:szCs w:val="28"/>
              </w:rPr>
            </w:pPr>
            <w:r w:rsidRPr="0003081C">
              <w:rPr>
                <w:rFonts w:ascii="APHont" w:hAnsi="APHont"/>
                <w:sz w:val="28"/>
                <w:szCs w:val="28"/>
              </w:rPr>
              <w:t>Provide assistance for short, social exchanges of spok</w:t>
            </w:r>
            <w:r w:rsidR="00B74668" w:rsidRPr="0003081C">
              <w:rPr>
                <w:rFonts w:ascii="APHont" w:hAnsi="APHont"/>
                <w:sz w:val="28"/>
                <w:szCs w:val="28"/>
              </w:rPr>
              <w:t>en and/or signed conversations</w:t>
            </w:r>
            <w:r w:rsidRPr="0003081C">
              <w:rPr>
                <w:rFonts w:ascii="APHont" w:hAnsi="APHont"/>
                <w:sz w:val="28"/>
                <w:szCs w:val="28"/>
              </w:rPr>
              <w:t xml:space="preserve"> in home and community settings</w:t>
            </w:r>
          </w:p>
          <w:p w:rsidR="000951A8" w:rsidRPr="0003081C" w:rsidRDefault="000951A8" w:rsidP="00D54E74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PHont" w:hAnsi="APHont"/>
                <w:sz w:val="28"/>
                <w:szCs w:val="28"/>
              </w:rPr>
            </w:pPr>
            <w:r w:rsidRPr="0003081C">
              <w:rPr>
                <w:rFonts w:ascii="APHont" w:hAnsi="APHont"/>
                <w:sz w:val="28"/>
                <w:szCs w:val="28"/>
              </w:rPr>
              <w:t xml:space="preserve">Use the deafblind person’s preferred language and communication mode </w:t>
            </w:r>
            <w:r w:rsidR="003F4ADA" w:rsidRPr="0003081C">
              <w:rPr>
                <w:rFonts w:ascii="APHont" w:hAnsi="APHont"/>
                <w:sz w:val="28"/>
                <w:szCs w:val="28"/>
              </w:rPr>
              <w:t>to relay</w:t>
            </w:r>
            <w:r w:rsidRPr="0003081C">
              <w:rPr>
                <w:rFonts w:ascii="APHont" w:hAnsi="APHont"/>
                <w:sz w:val="28"/>
                <w:szCs w:val="28"/>
              </w:rPr>
              <w:t xml:space="preserve"> information as clearly and completely as possible </w:t>
            </w:r>
          </w:p>
          <w:p w:rsidR="000951A8" w:rsidRPr="0003081C" w:rsidRDefault="000951A8" w:rsidP="000951A8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PHont" w:hAnsi="APHont"/>
                <w:sz w:val="28"/>
                <w:szCs w:val="28"/>
              </w:rPr>
            </w:pPr>
            <w:r w:rsidRPr="0003081C">
              <w:rPr>
                <w:rFonts w:ascii="APHont" w:hAnsi="APHont"/>
                <w:sz w:val="28"/>
                <w:szCs w:val="28"/>
              </w:rPr>
              <w:t>Use facilitation mediums that may include sign language, spoken language, print, braille, touch/tactile (including Haptics and Pro-Tactile) or technology, among others</w:t>
            </w:r>
          </w:p>
        </w:tc>
      </w:tr>
      <w:tr w:rsidR="000951A8" w:rsidRPr="000F0D74" w:rsidTr="003F4ADA">
        <w:tc>
          <w:tcPr>
            <w:tcW w:w="3150" w:type="dxa"/>
          </w:tcPr>
          <w:p w:rsidR="000951A8" w:rsidRPr="000F0D74" w:rsidRDefault="00C87F2C" w:rsidP="003F4ADA">
            <w:pPr>
              <w:ind w:left="0"/>
              <w:rPr>
                <w:rFonts w:ascii="APHont" w:hAnsi="APHont"/>
                <w:sz w:val="28"/>
                <w:szCs w:val="28"/>
              </w:rPr>
            </w:pPr>
            <w:r>
              <w:rPr>
                <w:rFonts w:ascii="APHont" w:hAnsi="APHont"/>
                <w:sz w:val="28"/>
                <w:szCs w:val="28"/>
              </w:rPr>
              <w:t>Provide safe and</w:t>
            </w:r>
            <w:r w:rsidR="000951A8" w:rsidRPr="000F0D74">
              <w:rPr>
                <w:rFonts w:ascii="APHont" w:hAnsi="APHont"/>
                <w:sz w:val="28"/>
                <w:szCs w:val="28"/>
              </w:rPr>
              <w:t xml:space="preserve"> efficient access to the community</w:t>
            </w:r>
          </w:p>
        </w:tc>
        <w:tc>
          <w:tcPr>
            <w:tcW w:w="7110" w:type="dxa"/>
          </w:tcPr>
          <w:p w:rsidR="000951A8" w:rsidRDefault="000951A8" w:rsidP="000951A8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APHont" w:hAnsi="APHont"/>
                <w:sz w:val="28"/>
                <w:szCs w:val="28"/>
              </w:rPr>
            </w:pPr>
            <w:r w:rsidRPr="000F0D74">
              <w:rPr>
                <w:rFonts w:ascii="APHont" w:hAnsi="APHont"/>
                <w:sz w:val="28"/>
                <w:szCs w:val="28"/>
              </w:rPr>
              <w:t>Serve as a human guide</w:t>
            </w:r>
          </w:p>
          <w:p w:rsidR="000951A8" w:rsidRPr="000951A8" w:rsidRDefault="000951A8" w:rsidP="000951A8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APHont" w:hAnsi="APHont"/>
                <w:sz w:val="28"/>
                <w:szCs w:val="28"/>
              </w:rPr>
            </w:pPr>
            <w:r w:rsidRPr="000951A8">
              <w:rPr>
                <w:rFonts w:ascii="APHont" w:hAnsi="APHont"/>
                <w:sz w:val="28"/>
                <w:szCs w:val="28"/>
              </w:rPr>
              <w:t xml:space="preserve">Respect the mobility tools used by the person who is </w:t>
            </w:r>
            <w:r>
              <w:rPr>
                <w:rFonts w:ascii="APHont" w:hAnsi="APHont"/>
                <w:sz w:val="28"/>
                <w:szCs w:val="28"/>
              </w:rPr>
              <w:t>deafblind</w:t>
            </w:r>
          </w:p>
        </w:tc>
      </w:tr>
      <w:tr w:rsidR="000951A8" w:rsidRPr="000F0D74" w:rsidTr="003F4ADA">
        <w:tc>
          <w:tcPr>
            <w:tcW w:w="3150" w:type="dxa"/>
          </w:tcPr>
          <w:p w:rsidR="000951A8" w:rsidRPr="000F0D74" w:rsidRDefault="000951A8" w:rsidP="004F4630">
            <w:pPr>
              <w:ind w:left="0"/>
              <w:rPr>
                <w:rFonts w:ascii="APHont" w:hAnsi="APHont"/>
                <w:sz w:val="28"/>
                <w:szCs w:val="28"/>
              </w:rPr>
            </w:pPr>
            <w:r w:rsidRPr="000F0D74">
              <w:rPr>
                <w:rFonts w:ascii="APHont" w:hAnsi="APHont"/>
                <w:sz w:val="28"/>
                <w:szCs w:val="28"/>
              </w:rPr>
              <w:t xml:space="preserve">Comply with </w:t>
            </w:r>
            <w:r w:rsidR="004F4630">
              <w:rPr>
                <w:rFonts w:ascii="APHont" w:hAnsi="APHont"/>
                <w:sz w:val="28"/>
                <w:szCs w:val="28"/>
              </w:rPr>
              <w:t>preferred</w:t>
            </w:r>
            <w:r w:rsidRPr="000F0D74">
              <w:rPr>
                <w:rFonts w:ascii="APHont" w:hAnsi="APHont"/>
                <w:sz w:val="28"/>
                <w:szCs w:val="28"/>
              </w:rPr>
              <w:t xml:space="preserve"> pra</w:t>
            </w:r>
            <w:r w:rsidR="004F4630">
              <w:rPr>
                <w:rFonts w:ascii="APHont" w:hAnsi="APHont"/>
                <w:sz w:val="28"/>
                <w:szCs w:val="28"/>
              </w:rPr>
              <w:t xml:space="preserve">ctices, ethics and professionalism </w:t>
            </w:r>
            <w:r w:rsidRPr="000F0D74">
              <w:rPr>
                <w:rFonts w:ascii="APHont" w:hAnsi="APHont"/>
                <w:sz w:val="28"/>
                <w:szCs w:val="28"/>
              </w:rPr>
              <w:t>of this developing field</w:t>
            </w:r>
          </w:p>
        </w:tc>
        <w:tc>
          <w:tcPr>
            <w:tcW w:w="7110" w:type="dxa"/>
          </w:tcPr>
          <w:p w:rsidR="00652913" w:rsidRDefault="00652913" w:rsidP="00D54E74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PHont" w:hAnsi="APHont"/>
                <w:spacing w:val="-6"/>
                <w:sz w:val="28"/>
                <w:szCs w:val="28"/>
              </w:rPr>
            </w:pPr>
            <w:r>
              <w:rPr>
                <w:rFonts w:ascii="APHont" w:hAnsi="APHont"/>
                <w:spacing w:val="-6"/>
                <w:sz w:val="28"/>
                <w:szCs w:val="28"/>
              </w:rPr>
              <w:t>Work with one deafblind person at a time</w:t>
            </w:r>
          </w:p>
          <w:p w:rsidR="000951A8" w:rsidRPr="00502447" w:rsidRDefault="000951A8" w:rsidP="00D54E74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PHont" w:hAnsi="APHont"/>
                <w:spacing w:val="-6"/>
                <w:sz w:val="28"/>
                <w:szCs w:val="28"/>
              </w:rPr>
            </w:pPr>
            <w:r w:rsidRPr="00502447">
              <w:rPr>
                <w:rFonts w:ascii="APHont" w:hAnsi="APHont"/>
                <w:spacing w:val="-6"/>
                <w:sz w:val="28"/>
                <w:szCs w:val="28"/>
              </w:rPr>
              <w:t xml:space="preserve">Respect the privacy, integrity and confidentiality of </w:t>
            </w:r>
            <w:r w:rsidR="00652913">
              <w:rPr>
                <w:rFonts w:ascii="APHont" w:hAnsi="APHont"/>
                <w:spacing w:val="-6"/>
                <w:sz w:val="28"/>
                <w:szCs w:val="28"/>
              </w:rPr>
              <w:t>that individual</w:t>
            </w:r>
          </w:p>
          <w:p w:rsidR="000951A8" w:rsidRPr="00B74668" w:rsidRDefault="000951A8" w:rsidP="00D54E74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PHont" w:hAnsi="APHont"/>
                <w:sz w:val="28"/>
                <w:szCs w:val="28"/>
              </w:rPr>
            </w:pPr>
            <w:r>
              <w:rPr>
                <w:rFonts w:ascii="APHont" w:hAnsi="APHont"/>
                <w:sz w:val="28"/>
                <w:szCs w:val="28"/>
              </w:rPr>
              <w:t>Do</w:t>
            </w:r>
            <w:r w:rsidRPr="000F0D74">
              <w:rPr>
                <w:rFonts w:ascii="APHont" w:hAnsi="APHont"/>
                <w:sz w:val="28"/>
                <w:szCs w:val="28"/>
              </w:rPr>
              <w:t xml:space="preserve"> </w:t>
            </w:r>
            <w:r w:rsidRPr="000F0D74">
              <w:rPr>
                <w:rFonts w:ascii="APHont" w:hAnsi="APHont"/>
                <w:i/>
                <w:sz w:val="28"/>
                <w:szCs w:val="28"/>
              </w:rPr>
              <w:t>with</w:t>
            </w:r>
            <w:r w:rsidRPr="000F0D74">
              <w:rPr>
                <w:rFonts w:ascii="APHont" w:hAnsi="APHont"/>
                <w:sz w:val="28"/>
                <w:szCs w:val="28"/>
              </w:rPr>
              <w:t xml:space="preserve"> the </w:t>
            </w:r>
            <w:r>
              <w:rPr>
                <w:rFonts w:ascii="APHont" w:hAnsi="APHont"/>
                <w:sz w:val="28"/>
                <w:szCs w:val="28"/>
              </w:rPr>
              <w:t>deafblind</w:t>
            </w:r>
            <w:r w:rsidRPr="000F0D74">
              <w:rPr>
                <w:rFonts w:ascii="APHont" w:hAnsi="APHont"/>
                <w:sz w:val="28"/>
                <w:szCs w:val="28"/>
              </w:rPr>
              <w:t xml:space="preserve"> person, not </w:t>
            </w:r>
            <w:r w:rsidRPr="000F0D74">
              <w:rPr>
                <w:rFonts w:ascii="APHont" w:hAnsi="APHont"/>
                <w:i/>
                <w:sz w:val="28"/>
                <w:szCs w:val="28"/>
              </w:rPr>
              <w:t>for</w:t>
            </w:r>
          </w:p>
          <w:p w:rsidR="00B74668" w:rsidRPr="0003081C" w:rsidRDefault="00B74668" w:rsidP="00D54E74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PHont" w:hAnsi="APHont"/>
                <w:sz w:val="28"/>
                <w:szCs w:val="28"/>
              </w:rPr>
            </w:pPr>
            <w:r w:rsidRPr="0003081C">
              <w:rPr>
                <w:rFonts w:ascii="APHont" w:hAnsi="APHont"/>
                <w:sz w:val="28"/>
                <w:szCs w:val="28"/>
              </w:rPr>
              <w:t>Remain impartial and objective</w:t>
            </w:r>
          </w:p>
          <w:p w:rsidR="000951A8" w:rsidRPr="000F0D74" w:rsidRDefault="000951A8" w:rsidP="00D54E74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PHont" w:hAnsi="APHont"/>
                <w:sz w:val="28"/>
                <w:szCs w:val="28"/>
              </w:rPr>
            </w:pPr>
            <w:r w:rsidRPr="000F0D74">
              <w:rPr>
                <w:rFonts w:ascii="APHont" w:hAnsi="APHont"/>
                <w:sz w:val="28"/>
                <w:szCs w:val="28"/>
              </w:rPr>
              <w:t xml:space="preserve">Recognize </w:t>
            </w:r>
            <w:r>
              <w:rPr>
                <w:rFonts w:ascii="APHont" w:hAnsi="APHont"/>
                <w:sz w:val="28"/>
                <w:szCs w:val="28"/>
              </w:rPr>
              <w:t xml:space="preserve">your own </w:t>
            </w:r>
            <w:r w:rsidRPr="000F0D74">
              <w:rPr>
                <w:rFonts w:ascii="APHont" w:hAnsi="APHont"/>
                <w:sz w:val="28"/>
                <w:szCs w:val="28"/>
              </w:rPr>
              <w:t>personal and physical limitations</w:t>
            </w:r>
          </w:p>
          <w:p w:rsidR="000951A8" w:rsidRPr="000F0D74" w:rsidRDefault="000951A8" w:rsidP="00D54E74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APHont" w:hAnsi="APHont"/>
                <w:sz w:val="28"/>
                <w:szCs w:val="28"/>
              </w:rPr>
            </w:pPr>
            <w:r w:rsidRPr="000F0D74">
              <w:rPr>
                <w:rFonts w:ascii="APHont" w:hAnsi="APHont"/>
                <w:sz w:val="28"/>
                <w:szCs w:val="28"/>
              </w:rPr>
              <w:t>Maintain professional boundaries</w:t>
            </w:r>
          </w:p>
        </w:tc>
      </w:tr>
    </w:tbl>
    <w:p w:rsidR="008552DB" w:rsidRDefault="008552DB" w:rsidP="008552DB">
      <w:pPr>
        <w:tabs>
          <w:tab w:val="right" w:pos="10800"/>
        </w:tabs>
        <w:spacing w:before="100" w:beforeAutospacing="1"/>
        <w:ind w:left="0"/>
        <w:jc w:val="both"/>
        <w:rPr>
          <w:rFonts w:ascii="APHont" w:hAnsi="APHont" w:cs="Calibri"/>
          <w:color w:val="A6A6A6" w:themeColor="background1" w:themeShade="A6"/>
          <w:sz w:val="8"/>
          <w:szCs w:val="32"/>
          <w:u w:val="single"/>
        </w:rPr>
      </w:pPr>
    </w:p>
    <w:p w:rsidR="008552DB" w:rsidRDefault="008552DB" w:rsidP="008552DB">
      <w:pPr>
        <w:tabs>
          <w:tab w:val="right" w:pos="10800"/>
        </w:tabs>
        <w:spacing w:before="100" w:beforeAutospacing="1"/>
        <w:ind w:left="0"/>
        <w:jc w:val="both"/>
        <w:rPr>
          <w:rFonts w:ascii="APHont" w:hAnsi="APHont" w:cs="Calibri"/>
          <w:color w:val="A6A6A6" w:themeColor="background1" w:themeShade="A6"/>
          <w:sz w:val="8"/>
          <w:szCs w:val="32"/>
          <w:u w:val="single"/>
        </w:rPr>
      </w:pPr>
    </w:p>
    <w:p w:rsidR="005557F2" w:rsidRPr="000F0D74" w:rsidRDefault="008552DB" w:rsidP="008552DB">
      <w:pPr>
        <w:tabs>
          <w:tab w:val="right" w:pos="10710"/>
        </w:tabs>
        <w:ind w:left="0"/>
        <w:jc w:val="right"/>
        <w:rPr>
          <w:rFonts w:ascii="APHont" w:hAnsi="APHont"/>
          <w:sz w:val="28"/>
          <w:szCs w:val="28"/>
        </w:rPr>
      </w:pPr>
      <w:bookmarkStart w:id="0" w:name="_GoBack"/>
      <w:bookmarkEnd w:id="0"/>
      <w:r>
        <w:rPr>
          <w:rFonts w:ascii="APHont" w:hAnsi="APHont" w:cs="Calibri"/>
          <w:color w:val="808080" w:themeColor="background1" w:themeShade="80"/>
          <w:sz w:val="12"/>
          <w:szCs w:val="32"/>
        </w:rPr>
        <w:t xml:space="preserve"> </w:t>
      </w:r>
      <w:r w:rsidRPr="007F2E51">
        <w:rPr>
          <w:rFonts w:ascii="APHont" w:hAnsi="APHont" w:cs="Calibri"/>
          <w:color w:val="auto"/>
          <w:sz w:val="16"/>
          <w:szCs w:val="32"/>
        </w:rPr>
        <w:t>© DBCANNJ 2019</w:t>
      </w:r>
    </w:p>
    <w:sectPr w:rsidR="005557F2" w:rsidRPr="000F0D74" w:rsidSect="005024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Hont">
    <w:panose1 w:val="020B0604030504040204"/>
    <w:charset w:val="00"/>
    <w:family w:val="swiss"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511C"/>
    <w:multiLevelType w:val="multilevel"/>
    <w:tmpl w:val="C368FF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5C87025"/>
    <w:multiLevelType w:val="hybridMultilevel"/>
    <w:tmpl w:val="0B06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22EC0"/>
    <w:multiLevelType w:val="hybridMultilevel"/>
    <w:tmpl w:val="6952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97AF2"/>
    <w:multiLevelType w:val="hybridMultilevel"/>
    <w:tmpl w:val="E270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334D2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74"/>
    <w:rsid w:val="0003081C"/>
    <w:rsid w:val="000951A8"/>
    <w:rsid w:val="000F0D74"/>
    <w:rsid w:val="001116DA"/>
    <w:rsid w:val="00124A1C"/>
    <w:rsid w:val="003A2699"/>
    <w:rsid w:val="003F4ADA"/>
    <w:rsid w:val="00447E36"/>
    <w:rsid w:val="004E1055"/>
    <w:rsid w:val="004F4630"/>
    <w:rsid w:val="00502447"/>
    <w:rsid w:val="005557F2"/>
    <w:rsid w:val="005F34F6"/>
    <w:rsid w:val="00623852"/>
    <w:rsid w:val="006321A5"/>
    <w:rsid w:val="00652913"/>
    <w:rsid w:val="00694EF4"/>
    <w:rsid w:val="006B1903"/>
    <w:rsid w:val="006E1930"/>
    <w:rsid w:val="00754429"/>
    <w:rsid w:val="008552DB"/>
    <w:rsid w:val="008641F2"/>
    <w:rsid w:val="008B2807"/>
    <w:rsid w:val="008F63BE"/>
    <w:rsid w:val="00982995"/>
    <w:rsid w:val="00A25A9F"/>
    <w:rsid w:val="00A85074"/>
    <w:rsid w:val="00AE0770"/>
    <w:rsid w:val="00B74668"/>
    <w:rsid w:val="00C87F2C"/>
    <w:rsid w:val="00D54E74"/>
    <w:rsid w:val="00E0751F"/>
    <w:rsid w:val="00F8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A00BA-78E5-4C20-A78F-B5E5B20E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E74"/>
    <w:pPr>
      <w:spacing w:after="0" w:line="240" w:lineRule="auto"/>
      <w:ind w:left="360"/>
    </w:pPr>
    <w:rPr>
      <w:rFonts w:ascii="Calibri" w:eastAsia="Calibri" w:hAnsi="Calibri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E74"/>
    <w:pPr>
      <w:ind w:left="720"/>
      <w:contextualSpacing/>
    </w:pPr>
  </w:style>
  <w:style w:type="table" w:styleId="TableGrid">
    <w:name w:val="Table Grid"/>
    <w:basedOn w:val="TableNormal"/>
    <w:uiPriority w:val="39"/>
    <w:rsid w:val="00D5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EF4"/>
    <w:pPr>
      <w:autoSpaceDE w:val="0"/>
      <w:autoSpaceDN w:val="0"/>
      <w:adjustRightInd w:val="0"/>
      <w:spacing w:after="0" w:line="240" w:lineRule="auto"/>
    </w:pPr>
    <w:rPr>
      <w:rFonts w:ascii="APHont" w:hAnsi="APHont" w:cs="APHont"/>
      <w:color w:val="000000"/>
      <w:sz w:val="24"/>
      <w:szCs w:val="24"/>
    </w:rPr>
  </w:style>
  <w:style w:type="character" w:customStyle="1" w:styleId="A2">
    <w:name w:val="A2"/>
    <w:uiPriority w:val="99"/>
    <w:rsid w:val="00694EF4"/>
    <w:rPr>
      <w:rFonts w:cs="APHont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694EF4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Gabry</dc:creator>
  <cp:keywords/>
  <dc:description/>
  <cp:lastModifiedBy>Katherine Gabry</cp:lastModifiedBy>
  <cp:revision>14</cp:revision>
  <dcterms:created xsi:type="dcterms:W3CDTF">2019-11-25T13:32:00Z</dcterms:created>
  <dcterms:modified xsi:type="dcterms:W3CDTF">2019-12-05T16:35:00Z</dcterms:modified>
</cp:coreProperties>
</file>